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72"/>
          <w:szCs w:val="72"/>
          <w:lang w:eastAsia="cs-CZ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margin">
                  <wp:posOffset>883285</wp:posOffset>
                </wp:positionH>
                <wp:positionV relativeFrom="margin">
                  <wp:posOffset>111125</wp:posOffset>
                </wp:positionV>
                <wp:extent cx="1811020" cy="1677670"/>
                <wp:effectExtent l="6985" t="6350" r="10795" b="114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1677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647825" cy="1647825"/>
                                  <wp:effectExtent l="0" t="0" r="9525" b="9525"/>
                                  <wp:docPr id="3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6" t="-6" r="-6" b="-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55pt;margin-top:8.75pt;width:142.6pt;height:132.1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" strokecolor="white" strokeweight="0">
                <v:fill opacity="0"/>
                <v:textbox inset="0,0,0,0">
                  <w:txbxContent>
                    <w:p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1647825" cy="1647825"/>
                            <wp:effectExtent l="0" t="0" r="9525" b="9525"/>
                            <wp:docPr id="3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6" t="-6" r="-6" b="-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>
      <w:pPr>
        <w:rPr>
          <w:rFonts w:ascii="Arial" w:hAnsi="Arial" w:cs="Arial"/>
          <w:b/>
          <w:sz w:val="36"/>
          <w:szCs w:val="36"/>
        </w:rPr>
      </w:pPr>
    </w:p>
    <w:p>
      <w:pPr>
        <w:pStyle w:val="Zhlav"/>
        <w:rPr>
          <w:rFonts w:ascii="Arial" w:hAnsi="Arial" w:cs="Arial"/>
          <w:b/>
          <w:sz w:val="72"/>
          <w:szCs w:val="72"/>
        </w:rPr>
      </w:pPr>
    </w:p>
    <w:p>
      <w:pPr>
        <w:pStyle w:val="Zhlav"/>
        <w:rPr>
          <w:rFonts w:ascii="Arial" w:hAnsi="Arial" w:cs="Arial"/>
          <w:b/>
          <w:sz w:val="72"/>
          <w:szCs w:val="72"/>
        </w:rPr>
      </w:pPr>
    </w:p>
    <w:p>
      <w:pPr>
        <w:pStyle w:val="Zhlav"/>
      </w:pPr>
      <w:r>
        <w:rPr>
          <w:rFonts w:ascii="Arial" w:hAnsi="Arial" w:cs="Arial"/>
          <w:b/>
          <w:sz w:val="72"/>
          <w:szCs w:val="72"/>
        </w:rPr>
        <w:t>Úřad práce ČR</w:t>
      </w: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Krajská pobočka Úřadu práce ČR v Ústí nad Labem </w:t>
      </w:r>
    </w:p>
    <w:p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Měsíční statistická zpráva</w:t>
      </w:r>
    </w:p>
    <w:p>
      <w:pPr>
        <w:rPr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srpen 2019</w:t>
      </w: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</w:p>
    <w:p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</w:p>
    <w:p>
      <w:pPr>
        <w:autoSpaceDE w:val="0"/>
        <w:spacing w:after="0" w:line="240" w:lineRule="auto"/>
      </w:pPr>
      <w:r>
        <w:rPr>
          <w:rFonts w:ascii="Arial" w:hAnsi="Arial" w:cs="Arial"/>
          <w:sz w:val="28"/>
          <w:szCs w:val="28"/>
        </w:rPr>
        <w:t>Zprávu předkládá:</w:t>
      </w:r>
    </w:p>
    <w:p>
      <w:pPr>
        <w:autoSpaceDE w:val="0"/>
        <w:spacing w:after="0" w:line="240" w:lineRule="auto"/>
      </w:pPr>
      <w:r>
        <w:rPr>
          <w:rFonts w:ascii="Arial" w:hAnsi="Arial" w:cs="Arial"/>
          <w:b/>
          <w:bCs/>
          <w:sz w:val="28"/>
          <w:szCs w:val="28"/>
        </w:rPr>
        <w:t>Ing. Jiří Pánek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vedoucí oddělení metodiky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http://portal.mpsv.cz/upcr/kp/ulk/informace</w:t>
      </w:r>
    </w:p>
    <w:p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Ústí nad Labem 2019</w:t>
      </w:r>
    </w:p>
    <w:p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>
      <w:pPr>
        <w:autoSpaceDE w:val="0"/>
        <w:spacing w:after="0" w:line="240" w:lineRule="auto"/>
      </w:pPr>
      <w:r>
        <w:rPr>
          <w:rFonts w:ascii="Arial" w:hAnsi="Arial" w:cs="Arial"/>
          <w:b/>
          <w:bC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617855</wp:posOffset>
                </wp:positionV>
                <wp:extent cx="2677795" cy="399415"/>
                <wp:effectExtent l="0" t="0" r="1905" b="190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www.uradprace.cz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18.5pt;margin-top:48.65pt;width:210.85pt;height:31.4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" filled="f" stroked="f" strokecolor="red">
                <v:textbox inset="7.25pt,3.65pt,7.25pt,3.65pt">
                  <w:txbxContent>
                    <w:p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www.uradprace.cz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515620</wp:posOffset>
                </wp:positionV>
                <wp:extent cx="7334250" cy="520700"/>
                <wp:effectExtent l="13335" t="10795" r="5715" b="1143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0" cy="520700"/>
                        </a:xfrm>
                        <a:prstGeom prst="rect">
                          <a:avLst/>
                        </a:prstGeom>
                        <a:solidFill>
                          <a:srgbClr val="2E3092"/>
                        </a:solidFill>
                        <a:ln w="9360" cap="sq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46.95pt;margin-top:40.6pt;width:577.5pt;height:41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" fillcolor="#2e3092" strokecolor="#0070c0" strokeweight=".26mm">
                <v:stroke endcap="square"/>
              </v:rect>
            </w:pict>
          </mc:Fallback>
        </mc:AlternateContent>
      </w: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</w:p>
    <w:p>
      <w:pPr>
        <w:pStyle w:val="Nzev"/>
        <w:spacing w:line="360" w:lineRule="auto"/>
        <w:outlineLvl w:val="0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Informace o nezaměstnanosti v Ústeckém kraji k 31. 8. 2019</w:t>
      </w:r>
    </w:p>
    <w:p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tomto měsíci celkový počet uchazečů o zaměstnání klesl o 2,3 % na 22 369 osob, počet hlášených volných pracovních míst klesl o 1,0 % na 16 743 míst a podíl nezaměstnaných osob klesl na 3,8 %. </w:t>
      </w:r>
    </w:p>
    <w:p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 31. 8. 2019 evidoval Úřad práce ČR (ÚP ČR), Krajská pobočka v Ústí n. L. celkem</w:t>
      </w:r>
      <w:r>
        <w:rPr>
          <w:rFonts w:ascii="Arial" w:hAnsi="Arial" w:cs="Arial"/>
          <w:bCs/>
          <w:sz w:val="24"/>
          <w:szCs w:val="24"/>
        </w:rPr>
        <w:br/>
        <w:t>22 369 uchazečů o zaměstnání</w:t>
      </w:r>
      <w:r>
        <w:rPr>
          <w:rFonts w:ascii="Arial" w:hAnsi="Arial" w:cs="Arial"/>
          <w:sz w:val="24"/>
          <w:szCs w:val="24"/>
        </w:rPr>
        <w:t xml:space="preserve">. Jejich počet byl o 537 nižší než na konci předchozího měsíce, ve srovnání se stejným obdobím minulého roku je nižší o 5 058 osob. Z tohoto počtu bylo 20 355 </w:t>
      </w:r>
      <w:r>
        <w:rPr>
          <w:rFonts w:ascii="Arial" w:hAnsi="Arial" w:cs="Arial"/>
          <w:bCs/>
          <w:sz w:val="24"/>
          <w:szCs w:val="24"/>
        </w:rPr>
        <w:t>dosažitelných uchazečů o zaměstnání ve věku 15 - 64 let</w:t>
      </w:r>
      <w:r>
        <w:rPr>
          <w:rFonts w:ascii="Arial" w:hAnsi="Arial" w:cs="Arial"/>
          <w:sz w:val="24"/>
          <w:szCs w:val="24"/>
        </w:rPr>
        <w:t>. Bylo to</w:t>
      </w:r>
      <w:r>
        <w:rPr>
          <w:rFonts w:ascii="Arial" w:hAnsi="Arial" w:cs="Arial"/>
          <w:sz w:val="24"/>
          <w:szCs w:val="24"/>
        </w:rPr>
        <w:br/>
        <w:t xml:space="preserve">o 466 méně než na konci předchozího měsíce. Ve srovnání se stejným obdobím minulého roku byl jejich počet nižší o 4 435 osob. </w:t>
      </w:r>
    </w:p>
    <w:p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 průběhu měsíce bylo nově zaevidováno 3 388 osob. Ve srovnání s minulým měsícem to bylo méně o 662 osob a v porovnání se stejným obdobím předchozího roku méně </w:t>
      </w:r>
      <w:r>
        <w:rPr>
          <w:rFonts w:ascii="Arial" w:hAnsi="Arial" w:cs="Arial"/>
          <w:sz w:val="24"/>
          <w:szCs w:val="24"/>
        </w:rPr>
        <w:t>o 354 osob.</w:t>
      </w:r>
    </w:p>
    <w:p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 evidence během měsíce odešlo celkem 3 925 uchazečů </w:t>
      </w:r>
      <w:r>
        <w:rPr>
          <w:rFonts w:ascii="Arial" w:hAnsi="Arial" w:cs="Arial"/>
          <w:sz w:val="24"/>
          <w:szCs w:val="24"/>
        </w:rPr>
        <w:t>(ukončená evidence, vyřazení uchazeči). Bylo to o 383 osob více než v předchozím měsíci a o 16 osob více než</w:t>
      </w:r>
      <w:r>
        <w:rPr>
          <w:rFonts w:ascii="Arial" w:hAnsi="Arial" w:cs="Arial"/>
          <w:sz w:val="24"/>
          <w:szCs w:val="24"/>
        </w:rPr>
        <w:br/>
        <w:t>ve stejném měsíci minulého roku. Do zaměstnání z nich ve sledovaném měsíci nastoupilo 1 903, tj. o 93 více než v předchozím měsíci a o 227 méně než ve stejném měsíci minulého roku, 937 uchazečů o zaměstnání bylo umístěno prostřednictvím úřadu práce,</w:t>
      </w:r>
      <w:r>
        <w:rPr>
          <w:rFonts w:ascii="Arial" w:hAnsi="Arial" w:cs="Arial"/>
          <w:sz w:val="24"/>
          <w:szCs w:val="24"/>
        </w:rPr>
        <w:br/>
        <w:t>tj. o 17 méně než v předchozím měsíci a o 397 více než ve stejném období minulého roku, 2 022 uchazečů bylo vyřazeno bez umístění.</w:t>
      </w:r>
    </w:p>
    <w:p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Meziměsíční</w:t>
      </w:r>
      <w:r>
        <w:rPr>
          <w:rFonts w:ascii="Arial" w:hAnsi="Arial" w:cs="Arial"/>
          <w:sz w:val="24"/>
          <w:szCs w:val="24"/>
        </w:rPr>
        <w:t xml:space="preserve"> pokles uchazečů </w:t>
      </w:r>
      <w:r>
        <w:rPr>
          <w:rFonts w:ascii="Arial" w:hAnsi="Arial" w:cs="Arial"/>
          <w:bCs/>
          <w:sz w:val="24"/>
          <w:szCs w:val="24"/>
        </w:rPr>
        <w:t xml:space="preserve">byl </w:t>
      </w:r>
      <w:r>
        <w:rPr>
          <w:rFonts w:ascii="Arial" w:hAnsi="Arial" w:cs="Arial"/>
          <w:sz w:val="24"/>
          <w:szCs w:val="24"/>
        </w:rPr>
        <w:t>zaznamenán v pěti </w:t>
      </w:r>
      <w:r>
        <w:rPr>
          <w:rFonts w:ascii="Arial" w:hAnsi="Arial" w:cs="Arial"/>
          <w:bCs/>
          <w:sz w:val="24"/>
          <w:szCs w:val="24"/>
        </w:rPr>
        <w:t xml:space="preserve">okresech Ústeckého kraje, největší v okrese Ústí n. L. </w:t>
      </w:r>
      <w:r>
        <w:rPr>
          <w:rFonts w:ascii="Arial" w:hAnsi="Arial" w:cs="Arial"/>
          <w:sz w:val="24"/>
          <w:szCs w:val="24"/>
        </w:rPr>
        <w:t>(-7,7 %). Nepatrná nárůst byl registrován v okresech Chomutov (0,3 %) a Děčín (0,6 %).</w:t>
      </w:r>
    </w:p>
    <w:p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Ke konci měsíce bylo evidováno na ÚP ČR, Krajské pobočce v Ústí n. L. 12 995 žen</w:t>
      </w:r>
      <w:r>
        <w:rPr>
          <w:rFonts w:ascii="Arial" w:hAnsi="Arial" w:cs="Arial"/>
          <w:sz w:val="24"/>
          <w:szCs w:val="24"/>
        </w:rPr>
        <w:t>. Jejich podíl na celkovém počtu uchazečů činil 58,1 %. V evidenci bylo 4 176 o</w:t>
      </w:r>
      <w:r>
        <w:rPr>
          <w:rFonts w:ascii="Arial" w:hAnsi="Arial" w:cs="Arial"/>
          <w:bCs/>
          <w:sz w:val="24"/>
          <w:szCs w:val="24"/>
        </w:rPr>
        <w:t>sob</w:t>
      </w:r>
      <w:r>
        <w:rPr>
          <w:rFonts w:ascii="Arial" w:hAnsi="Arial" w:cs="Arial"/>
          <w:bCs/>
          <w:sz w:val="24"/>
          <w:szCs w:val="24"/>
        </w:rPr>
        <w:br/>
        <w:t>se zdravotním postižením</w:t>
      </w:r>
      <w:r>
        <w:rPr>
          <w:rFonts w:ascii="Arial" w:hAnsi="Arial" w:cs="Arial"/>
          <w:sz w:val="24"/>
          <w:szCs w:val="24"/>
        </w:rPr>
        <w:t>, což představovalo 18,7 % z celkového počtu nezaměstnaných.</w:t>
      </w:r>
    </w:p>
    <w:p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Ke konci tohoto měsíce bylo evidováno 854 absolventů škol</w:t>
      </w:r>
      <w:r>
        <w:rPr>
          <w:rFonts w:ascii="Arial" w:hAnsi="Arial" w:cs="Arial"/>
          <w:sz w:val="24"/>
          <w:szCs w:val="24"/>
        </w:rPr>
        <w:t xml:space="preserve"> všech stupňů vzdělání </w:t>
      </w:r>
      <w:r>
        <w:rPr>
          <w:rFonts w:ascii="Arial" w:hAnsi="Arial" w:cs="Arial"/>
          <w:bCs/>
          <w:sz w:val="24"/>
          <w:szCs w:val="24"/>
        </w:rPr>
        <w:t>a mladistvých</w:t>
      </w:r>
      <w:r>
        <w:rPr>
          <w:rFonts w:ascii="Arial" w:hAnsi="Arial" w:cs="Arial"/>
          <w:sz w:val="24"/>
          <w:szCs w:val="24"/>
        </w:rPr>
        <w:t xml:space="preserve">, jejichž počet se ve srovnání s předchozím měsícem nezměnil a ve srovnání se stejným měsícem minulého roku byl nižší o 212 osob. Na celkové nezaměstnanosti se podíleli 3,8 %. </w:t>
      </w:r>
    </w:p>
    <w:p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Podporu v nezaměstnanosti pobíralo 6 859 uchazečů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 zaměstnání</w:t>
      </w:r>
      <w:r>
        <w:rPr>
          <w:rFonts w:ascii="Arial" w:hAnsi="Arial" w:cs="Arial"/>
          <w:sz w:val="24"/>
          <w:szCs w:val="24"/>
        </w:rPr>
        <w:t xml:space="preserve">, tj. 30,7 % všech uchazečů vedených v evidenci. 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odíl nezaměstnaných osob, tj. </w:t>
      </w:r>
      <w:bookmarkStart w:id="0" w:name="_GoBack"/>
      <w:r>
        <w:rPr>
          <w:rFonts w:ascii="Arial" w:hAnsi="Arial" w:cs="Arial"/>
          <w:sz w:val="24"/>
          <w:szCs w:val="24"/>
        </w:rPr>
        <w:t>počet dosažitelných uchazečů o zaměstnání ve věku</w:t>
      </w:r>
      <w:r>
        <w:rPr>
          <w:rFonts w:ascii="Arial" w:hAnsi="Arial" w:cs="Arial"/>
          <w:sz w:val="24"/>
          <w:szCs w:val="24"/>
        </w:rPr>
        <w:br/>
        <w:t xml:space="preserve">15 -64 let k obyvatelstvu stejného věku, </w:t>
      </w:r>
      <w:r>
        <w:rPr>
          <w:rFonts w:ascii="Arial" w:hAnsi="Arial" w:cs="Arial"/>
          <w:bCs/>
          <w:sz w:val="24"/>
          <w:szCs w:val="24"/>
        </w:rPr>
        <w:t>klesl k 31. 8. 2019 na 3,8 %.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Podíl nezaměstnaných </w:t>
      </w:r>
      <w:r>
        <w:rPr>
          <w:rFonts w:ascii="Arial" w:hAnsi="Arial" w:cs="Arial"/>
          <w:bCs/>
          <w:sz w:val="24"/>
          <w:szCs w:val="24"/>
        </w:rPr>
        <w:t xml:space="preserve">stejný nebo vyšší než republikový průměr </w:t>
      </w:r>
      <w:r>
        <w:rPr>
          <w:rFonts w:ascii="Arial" w:hAnsi="Arial" w:cs="Arial"/>
          <w:sz w:val="24"/>
          <w:szCs w:val="24"/>
        </w:rPr>
        <w:t xml:space="preserve">vykázalo pět okresů, nejvyšší byl v okrese Chomutov (4,9 %). </w:t>
      </w:r>
      <w:r>
        <w:rPr>
          <w:rFonts w:ascii="Arial" w:hAnsi="Arial" w:cs="Arial"/>
          <w:bCs/>
          <w:sz w:val="24"/>
          <w:szCs w:val="24"/>
        </w:rPr>
        <w:t>Nejnižší podíl nezaměstnaných</w:t>
      </w:r>
      <w:r>
        <w:rPr>
          <w:rFonts w:ascii="Arial" w:hAnsi="Arial" w:cs="Arial"/>
          <w:sz w:val="24"/>
          <w:szCs w:val="24"/>
        </w:rPr>
        <w:t xml:space="preserve"> byl zaznamenán v okresech Teplice (2,7 %) a Litoměřice (2,6 %).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Podíl nezaměstnaných žen klesl na 4,6 % a podíl nezaměstnaných mužů klesl na 3,1 %. Kraj evidoval k 31. 8. 2019 celkem 16 743 volných pracovních míst</w:t>
      </w:r>
      <w:r>
        <w:rPr>
          <w:rFonts w:ascii="Arial" w:hAnsi="Arial" w:cs="Arial"/>
          <w:sz w:val="24"/>
          <w:szCs w:val="24"/>
        </w:rPr>
        <w:t>. Jejich počet byl</w:t>
      </w:r>
      <w:r>
        <w:rPr>
          <w:rFonts w:ascii="Arial" w:hAnsi="Arial" w:cs="Arial"/>
          <w:sz w:val="24"/>
          <w:szCs w:val="24"/>
        </w:rPr>
        <w:br/>
        <w:t xml:space="preserve">o 172 nižší než v předchozím měsíci a o 2 098 vyšší než ve stejném měsíci minulého roku. Na jedno volné pracovní místo připadalo v průměru 1,3 uchazeče, z toho nejvíce v okrese Ústí n. L. (2,3 </w:t>
      </w:r>
      <w:proofErr w:type="spellStart"/>
      <w:r>
        <w:rPr>
          <w:rFonts w:ascii="Arial" w:hAnsi="Arial" w:cs="Arial"/>
          <w:sz w:val="24"/>
          <w:szCs w:val="24"/>
        </w:rPr>
        <w:t>UoZ</w:t>
      </w:r>
      <w:proofErr w:type="spellEnd"/>
      <w:r>
        <w:rPr>
          <w:rFonts w:ascii="Arial" w:hAnsi="Arial" w:cs="Arial"/>
          <w:sz w:val="24"/>
          <w:szCs w:val="24"/>
        </w:rPr>
        <w:t xml:space="preserve">) a nejméně v okresech Chomutov a Teplice (0,8 </w:t>
      </w:r>
      <w:proofErr w:type="spellStart"/>
      <w:r>
        <w:rPr>
          <w:rFonts w:ascii="Arial" w:hAnsi="Arial" w:cs="Arial"/>
          <w:sz w:val="24"/>
          <w:szCs w:val="24"/>
        </w:rPr>
        <w:t>UoZ</w:t>
      </w:r>
      <w:proofErr w:type="spellEnd"/>
      <w:r>
        <w:rPr>
          <w:rFonts w:ascii="Arial" w:hAnsi="Arial" w:cs="Arial"/>
          <w:sz w:val="24"/>
          <w:szCs w:val="24"/>
        </w:rPr>
        <w:t>). Z celkového počtu nahlášených volných míst bylo 837 vhodných pro osoby se zdravotním postižením (OZP), na jedno volné místo připadalo 5,0 OZP. Volných pracovních míst</w:t>
      </w:r>
      <w:r>
        <w:rPr>
          <w:rFonts w:ascii="Arial" w:hAnsi="Arial" w:cs="Arial"/>
          <w:sz w:val="24"/>
          <w:szCs w:val="24"/>
        </w:rPr>
        <w:br/>
        <w:t>pro absolventy a mladistvé bylo registrováno 4 734, na jedno volné místo připadalo 0,2 uchazeče této kategorie. Z celkového počtu volných pracovních míst bylo 4 458 míst bez příznaku „pro cizince“. Na dalších 12 285 pozic pak mohli zaměstnavatelé přijímat také pracovníky ze zahraničí.</w:t>
      </w:r>
    </w:p>
    <w:p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rámci aktivní politiky zaměstnanosti (APZ) bylo od počátku roku 2019 prostřednictvím příspěvků APZ podpořeno 2 493 osob, z toho bylo zařazeno 418 osob do rekvalifikačních kurzů.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Nejčastěji podporovanými obory činností prostřednictvím SÚPM - SVČ byly ke konci měsíce osobní služby (manikúra/pedikúra, kosmetika, kadeřnictví), maloobchodní činnost a výroba textilních a oděvních výrobků.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Informace o vývoji nezaměstnanosti v ČR v elektronické formě jsou zveřejněny na internetové adrese </w:t>
      </w:r>
      <w:hyperlink r:id="rId11" w:history="1">
        <w:r>
          <w:rPr>
            <w:rStyle w:val="Hypertextovodkaz"/>
            <w:rFonts w:ascii="Arial" w:hAnsi="Arial" w:cs="Arial"/>
            <w:color w:val="auto"/>
            <w:sz w:val="24"/>
            <w:szCs w:val="24"/>
          </w:rPr>
          <w:t>http://portal.mpsv.cz/sz/stat</w:t>
        </w:r>
      </w:hyperlink>
      <w:r>
        <w:rPr>
          <w:rFonts w:ascii="Arial" w:hAnsi="Arial" w:cs="Arial"/>
          <w:sz w:val="24"/>
          <w:szCs w:val="24"/>
        </w:rPr>
        <w:t>.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cs-CZ"/>
        </w:rPr>
        <w:lastRenderedPageBreak/>
        <w:t>Základní charakteristika vývoje nezaměstnanosti a volných pracovních míst  v Ústeckém kraji</w:t>
      </w: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Tabulka č. 1 - Vývoj nezaměstnanosti</w:t>
      </w:r>
    </w:p>
    <w:tbl>
      <w:tblPr>
        <w:tblW w:w="0" w:type="auto"/>
        <w:tblInd w:w="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969"/>
        <w:gridCol w:w="1559"/>
        <w:gridCol w:w="1559"/>
        <w:gridCol w:w="1559"/>
      </w:tblGrid>
      <w:tr>
        <w:trPr>
          <w:cantSplit/>
          <w:trHeight w:val="454"/>
        </w:trPr>
        <w:tc>
          <w:tcPr>
            <w:tcW w:w="4962" w:type="dxa"/>
            <w:gridSpan w:val="2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Ukazatel (celkový stav</w:t>
            </w:r>
          </w:p>
        </w:tc>
        <w:tc>
          <w:tcPr>
            <w:tcW w:w="4677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Stav k</w:t>
            </w:r>
          </w:p>
        </w:tc>
      </w:tr>
      <w:tr>
        <w:trPr>
          <w:cantSplit/>
          <w:trHeight w:val="454"/>
        </w:trPr>
        <w:tc>
          <w:tcPr>
            <w:tcW w:w="4962" w:type="dxa"/>
            <w:gridSpan w:val="2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31. 8. 2018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31. 7. 2019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31. 8. 2019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evidovaní uchazeči o zaměstnání 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27 427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22 906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22 369</w:t>
            </w:r>
          </w:p>
        </w:tc>
      </w:tr>
      <w:tr>
        <w:trPr>
          <w:trHeight w:val="306"/>
        </w:trPr>
        <w:tc>
          <w:tcPr>
            <w:tcW w:w="993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 toho</w:t>
            </w:r>
          </w:p>
        </w:tc>
        <w:tc>
          <w:tcPr>
            <w:tcW w:w="396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ženy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15 367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13 193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12 995</w:t>
            </w:r>
          </w:p>
        </w:tc>
      </w:tr>
      <w:tr>
        <w:trPr>
          <w:trHeight w:val="306"/>
        </w:trPr>
        <w:tc>
          <w:tcPr>
            <w:tcW w:w="993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absolventi a mladiství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1 066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854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854</w:t>
            </w:r>
          </w:p>
        </w:tc>
      </w:tr>
      <w:tr>
        <w:trPr>
          <w:trHeight w:val="306"/>
        </w:trPr>
        <w:tc>
          <w:tcPr>
            <w:tcW w:w="993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uchazeči se zdravotním postižením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4 965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4 195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4 176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uchazeči s nárokem na </w:t>
            </w:r>
            <w:proofErr w:type="spellStart"/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PvN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6 959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6 958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6 859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podíl nezaměstnaných osob (v %)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4,7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3,9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3,8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volná pracovní místa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14 645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16 915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16 743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počet uchazečů na 1 volné pracovní místo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1,9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1,4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1,3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Tabulka č. 2 - Tok nezaměstnanosti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559"/>
        <w:gridCol w:w="1559"/>
        <w:gridCol w:w="1559"/>
      </w:tblGrid>
      <w:tr>
        <w:trPr>
          <w:cantSplit/>
          <w:trHeight w:val="454"/>
        </w:trPr>
        <w:tc>
          <w:tcPr>
            <w:tcW w:w="4992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Ukazatel</w:t>
            </w:r>
          </w:p>
        </w:tc>
        <w:tc>
          <w:tcPr>
            <w:tcW w:w="4677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Počet uchazečů ve sledovaném měsíci</w:t>
            </w:r>
          </w:p>
        </w:tc>
      </w:tr>
      <w:tr>
        <w:trPr>
          <w:cantSplit/>
          <w:trHeight w:val="558"/>
        </w:trPr>
        <w:tc>
          <w:tcPr>
            <w:tcW w:w="4992" w:type="dxa"/>
            <w:vMerge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srpen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červenec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srpen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2019</w:t>
            </w:r>
          </w:p>
        </w:tc>
      </w:tr>
      <w:tr>
        <w:trPr>
          <w:trHeight w:val="306"/>
        </w:trPr>
        <w:tc>
          <w:tcPr>
            <w:tcW w:w="499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nově evidovaní uchazeči o zaměstnání 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3 742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4 050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3 388</w:t>
            </w:r>
          </w:p>
        </w:tc>
      </w:tr>
      <w:tr>
        <w:trPr>
          <w:trHeight w:val="306"/>
        </w:trPr>
        <w:tc>
          <w:tcPr>
            <w:tcW w:w="499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uchazeči s ukončenou evidencí a vyřazení 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3 909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3 542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3 925</w:t>
            </w:r>
          </w:p>
        </w:tc>
      </w:tr>
      <w:tr>
        <w:trPr>
          <w:trHeight w:val="306"/>
        </w:trPr>
        <w:tc>
          <w:tcPr>
            <w:tcW w:w="499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 toho umístění celkem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2 130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1 810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1 903</w:t>
            </w:r>
          </w:p>
        </w:tc>
      </w:tr>
      <w:tr>
        <w:trPr>
          <w:trHeight w:val="306"/>
        </w:trPr>
        <w:tc>
          <w:tcPr>
            <w:tcW w:w="499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 toho umístění úřadem práce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540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954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937</w:t>
            </w:r>
          </w:p>
        </w:tc>
      </w:tr>
    </w:tbl>
    <w:p>
      <w:pPr>
        <w:pStyle w:val="Odstavecseseznamem"/>
        <w:widowControl w:val="0"/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Tabulka č. 3. - Nezaměstnanost v okresech k 31. 8. 2019</w:t>
      </w:r>
    </w:p>
    <w:tbl>
      <w:tblPr>
        <w:tblW w:w="9654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424"/>
        <w:gridCol w:w="1424"/>
        <w:gridCol w:w="1424"/>
        <w:gridCol w:w="1425"/>
        <w:gridCol w:w="1957"/>
      </w:tblGrid>
      <w:tr>
        <w:trPr>
          <w:trHeight w:val="454"/>
        </w:trPr>
        <w:tc>
          <w:tcPr>
            <w:tcW w:w="2000" w:type="dxa"/>
            <w:vMerge w:val="restart"/>
            <w:shd w:val="clear" w:color="000000" w:fill="FFFFFF"/>
            <w:noWrap/>
            <w:vAlign w:val="center"/>
            <w:hideMark/>
          </w:tcPr>
          <w:bookmarkEnd w:id="0"/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</w:t>
            </w:r>
          </w:p>
        </w:tc>
        <w:tc>
          <w:tcPr>
            <w:tcW w:w="2848" w:type="dxa"/>
            <w:gridSpan w:val="2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 nezaměstnaných</w:t>
            </w:r>
          </w:p>
        </w:tc>
        <w:tc>
          <w:tcPr>
            <w:tcW w:w="1424" w:type="dxa"/>
            <w:vMerge w:val="restart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Volná pracovní místa</w:t>
            </w:r>
          </w:p>
        </w:tc>
        <w:tc>
          <w:tcPr>
            <w:tcW w:w="1425" w:type="dxa"/>
            <w:vMerge w:val="restart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 uchazečů</w:t>
            </w:r>
          </w:p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 1 VPM</w:t>
            </w:r>
          </w:p>
        </w:tc>
        <w:tc>
          <w:tcPr>
            <w:tcW w:w="1957" w:type="dxa"/>
            <w:vMerge w:val="restart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Podíl nezaměstnaných osob (v %)</w:t>
            </w:r>
          </w:p>
        </w:tc>
      </w:tr>
      <w:tr>
        <w:trPr>
          <w:trHeight w:val="454"/>
        </w:trPr>
        <w:tc>
          <w:tcPr>
            <w:tcW w:w="2000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 w:val="restart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424" w:type="dxa"/>
            <w:vMerge w:val="restart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 toho ženy</w:t>
            </w:r>
          </w:p>
        </w:tc>
        <w:tc>
          <w:tcPr>
            <w:tcW w:w="1424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>
        <w:trPr>
          <w:trHeight w:val="276"/>
        </w:trPr>
        <w:tc>
          <w:tcPr>
            <w:tcW w:w="2000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Děčín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3 377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1 919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2 100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1,6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3,7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Chomutov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4 256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2 490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4 778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0,9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4,9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Litoměřice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2 184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1 313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1 472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2,6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Louny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2 748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1 591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2 111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1,3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4,3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Most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3 793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2 296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1908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4,8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Teplice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2 471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1 418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2 834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0,9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2,7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Ústí nad Labem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3 540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1 968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1 540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2,3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4,2</w:t>
            </w:r>
          </w:p>
        </w:tc>
      </w:tr>
      <w:tr>
        <w:trPr>
          <w:trHeight w:val="306"/>
        </w:trPr>
        <w:tc>
          <w:tcPr>
            <w:tcW w:w="2000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Ústecký kraj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22 369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12 995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16 743</w:t>
            </w:r>
          </w:p>
        </w:tc>
        <w:tc>
          <w:tcPr>
            <w:tcW w:w="1425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1,3</w:t>
            </w:r>
          </w:p>
        </w:tc>
        <w:tc>
          <w:tcPr>
            <w:tcW w:w="1957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3,8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Česká republika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204 789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113 858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350 564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0,6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2,7</w:t>
            </w:r>
          </w:p>
        </w:tc>
      </w:tr>
    </w:tbl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cs-CZ"/>
        </w:rPr>
        <w:lastRenderedPageBreak/>
        <w:t>Vybrané nástroje aktivní politiky zaměstnanosti v Ústeckém kraji</w:t>
      </w:r>
    </w:p>
    <w:p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Tabulka č. 4 - Osoby podpořené v rámci APZ a rekvalifikace uchazečů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>a zájemců o zaměstnání</w:t>
      </w:r>
    </w:p>
    <w:tbl>
      <w:tblPr>
        <w:tblW w:w="100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1247"/>
        <w:gridCol w:w="1242"/>
        <w:gridCol w:w="1242"/>
        <w:gridCol w:w="1242"/>
      </w:tblGrid>
      <w:tr>
        <w:trPr>
          <w:trHeight w:val="284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ukazatel (celkový počet)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Stav k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Celkem od počátku roku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</w:t>
            </w:r>
            <w:proofErr w:type="gramEnd"/>
          </w:p>
        </w:tc>
      </w:tr>
      <w:tr>
        <w:trPr>
          <w:trHeight w:val="284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>
        <w:trPr>
          <w:trHeight w:val="284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31. 8. 2018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31. 8. 2019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31. 8. 2018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31. 8. 2019</w:t>
            </w:r>
          </w:p>
        </w:tc>
      </w:tr>
      <w:tr>
        <w:trPr>
          <w:trHeight w:val="454"/>
        </w:trPr>
        <w:tc>
          <w:tcPr>
            <w:tcW w:w="10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osoby podpořené v rámci APZ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veřejně prospěšné práce (VPP)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1 374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1 291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1 380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veřejně prospěšné práce (VPP) - 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společensky účelná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prac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místa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(SÚPM)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102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společensky účelná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prac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místa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(SÚPM)-ESF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1 583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1 367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379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SÚPM - samostatně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výděleč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činnost (SVČ)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SÚPM - samostatně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výděleč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činnost (SVČ)-ESF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zřízení pracovního místa pro OZP (bez SVČ)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48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zřízení pracovního místa pro OZP - SVČ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ostatní nástroje APZ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134</w:t>
            </w:r>
          </w:p>
        </w:tc>
      </w:tr>
      <w:tr>
        <w:trPr>
          <w:trHeight w:val="454"/>
        </w:trPr>
        <w:tc>
          <w:tcPr>
            <w:tcW w:w="10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rekvalifikace uchazečů a zájemců o zaměstnání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uchazeči a zájemci zařazení do rekvalifikací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uchazeči a zájemci zařazení do rekvalifikací - 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146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uchazeči a zájemci, kteří zahájili zvolenou rekvalifikaci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uchazeči a zájemci, kteří zahájili zvolenou rekvalifikaci  - 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268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Osoby podpořené v rámci APZ celkem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4 468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2 247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4 391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2 493</w:t>
            </w:r>
          </w:p>
        </w:tc>
      </w:tr>
    </w:tbl>
    <w:p>
      <w:pPr>
        <w:pStyle w:val="Odstavecseseznamem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financováno převážně z Evropského sociálního fondu</w:t>
      </w:r>
    </w:p>
    <w:p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Podrobnější statistické údaje o nástrojích APZ naleznete na stránkách Integrovaného portálu MPSV, v měsíčních statistikách nezaměstnanosti:                       </w:t>
      </w:r>
      <w:hyperlink r:id="rId12" w:history="1">
        <w:r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http://portal.mpsv.cz/sz/stat/nz/mes</w:t>
        </w:r>
      </w:hyperlink>
    </w:p>
    <w:p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MAPA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ArcView</w:t>
      </w:r>
      <w:proofErr w:type="spellEnd"/>
      <w:r>
        <w:rPr>
          <w:rFonts w:ascii="Arial" w:hAnsi="Arial" w:cs="Arial"/>
          <w:sz w:val="24"/>
          <w:szCs w:val="24"/>
        </w:rPr>
        <w:t xml:space="preserve"> - Podíl nezaměstnaných v okresech kraje (mapa kraje)</w:t>
      </w:r>
    </w:p>
    <w:p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6074119" cy="5572125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259" cy="557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GRAFY</w:t>
      </w:r>
    </w:p>
    <w:p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Graf 1: Podíl nezaměstnaných osob v okresech Ústeckého kraje a v ČR k 31. 8. 2019 </w:t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5986780" cy="3444240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Graf 2: Vývoj podílu nezaměstnaných v Ústeckém kraji v letech 2017 - 2019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5986780" cy="3438525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br w:type="page"/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Graf 3: Vývoj počtu uchazečů a volných míst v Ústeckém kraji v letech 2017 - 2019</w:t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5986780" cy="3444240"/>
            <wp:effectExtent l="0" t="0" r="0" b="381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Graf 4: Podíl nezaměstnaných osob v jednotlivých krajích ČR k 31. 8. 2019</w:t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5974715" cy="3444240"/>
            <wp:effectExtent l="0" t="0" r="6985" b="381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rPr>
          <w:rFonts w:ascii="Arial" w:hAnsi="Arial" w:cs="Arial"/>
          <w:noProof/>
          <w:sz w:val="24"/>
          <w:szCs w:val="24"/>
        </w:rPr>
      </w:pP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rPr>
          <w:rFonts w:ascii="Arial" w:hAnsi="Arial" w:cs="Arial"/>
          <w:noProof/>
          <w:sz w:val="24"/>
          <w:szCs w:val="24"/>
        </w:rPr>
      </w:pP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 xml:space="preserve">Tabulka setříděných okresů k 31. 8. 2019 </w:t>
      </w:r>
      <w:r>
        <w:rPr>
          <w:rFonts w:ascii="Arial" w:hAnsi="Arial" w:cs="Arial"/>
          <w:b/>
          <w:sz w:val="24"/>
          <w:szCs w:val="24"/>
        </w:rPr>
        <w:t>(z celorepublikové statistiky)</w:t>
      </w:r>
    </w:p>
    <w:p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6010275" cy="8041819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138" cy="804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985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Fonts w:ascii="Arial" w:hAnsi="Arial" w:cs="Arial"/>
      </w:rPr>
    </w:pPr>
  </w:p>
  <w:p>
    <w:pPr>
      <w:pStyle w:val="Zpat"/>
      <w:jc w:val="center"/>
      <w:rPr>
        <w:rFonts w:ascii="Arial" w:hAnsi="Arial" w:cs="Arial"/>
      </w:rPr>
    </w:pPr>
  </w:p>
  <w:p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4</w:t>
    </w:r>
    <w:r>
      <w:rPr>
        <w:rFonts w:ascii="Arial" w:hAnsi="Arial" w:cs="Arial"/>
      </w:rPr>
      <w:fldChar w:fldCharType="end"/>
    </w:r>
  </w:p>
  <w:p>
    <w:pPr>
      <w:pStyle w:val="Zpat"/>
      <w:rPr>
        <w:rFonts w:ascii="Arial" w:hAnsi="Arial" w:cs="Arial"/>
      </w:rPr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216" behindDoc="0" locked="0" layoutInCell="1" allowOverlap="1">
              <wp:simplePos x="0" y="0"/>
              <wp:positionH relativeFrom="margin">
                <wp:posOffset>5059680</wp:posOffset>
              </wp:positionH>
              <wp:positionV relativeFrom="margin">
                <wp:posOffset>-968375</wp:posOffset>
              </wp:positionV>
              <wp:extent cx="539750" cy="523240"/>
              <wp:effectExtent l="1905" t="3175" r="1270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523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485775" cy="485775"/>
                                <wp:effectExtent l="0" t="0" r="9525" b="9525"/>
                                <wp:docPr id="1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6" t="-6" r="-6" b="-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577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98.4pt;margin-top:-76.25pt;width:42.5pt;height:41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" stroked="f">
              <v:fill opacity="0"/>
              <v:textbox inset="0,0,0,0">
                <w:txbxContent>
                  <w:p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485775" cy="485775"/>
                          <wp:effectExtent l="0" t="0" r="9525" b="9525"/>
                          <wp:docPr id="1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6" t="-6" r="-6" b="-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5775" cy="4857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margin">
                <wp:posOffset>4798695</wp:posOffset>
              </wp:positionH>
              <wp:positionV relativeFrom="margin">
                <wp:posOffset>-506730</wp:posOffset>
              </wp:positionV>
              <wp:extent cx="1121410" cy="318135"/>
              <wp:effectExtent l="7620" t="7620" r="4445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3181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361" w:lineRule="exac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Úřad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práce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ČR</w:t>
                          </w:r>
                        </w:p>
                        <w:p>
                          <w:pPr>
                            <w:rPr>
                              <w:rFonts w:ascii="Arial" w:eastAsia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377.85pt;margin-top:-39.9pt;width:88.3pt;height:25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" stroked="f" strokecolor="white" strokeweight="0">
              <v:fill opacity="0"/>
              <v:textbox inset="0,0,0,0">
                <w:txbxContent>
                  <w:p>
                    <w:pPr>
                      <w:spacing w:after="0" w:line="361" w:lineRule="exac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Úřad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práce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ČR</w:t>
                    </w:r>
                  </w:p>
                  <w:p>
                    <w:pPr>
                      <w:rPr>
                        <w:rFonts w:ascii="Arial" w:eastAsia="Arial" w:hAnsi="Arial" w:cs="Arial"/>
                        <w:b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09C"/>
    <w:multiLevelType w:val="hybridMultilevel"/>
    <w:tmpl w:val="175681F6"/>
    <w:lvl w:ilvl="0" w:tplc="19CACB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963F03"/>
    <w:multiLevelType w:val="hybridMultilevel"/>
    <w:tmpl w:val="A092B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2EE9"/>
    <w:multiLevelType w:val="hybridMultilevel"/>
    <w:tmpl w:val="40E864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F6819"/>
    <w:multiLevelType w:val="hybridMultilevel"/>
    <w:tmpl w:val="A65A7086"/>
    <w:lvl w:ilvl="0" w:tplc="23CCA8BE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2341F"/>
    <w:multiLevelType w:val="hybridMultilevel"/>
    <w:tmpl w:val="A886B5E8"/>
    <w:lvl w:ilvl="0" w:tplc="00AC0638">
      <w:start w:val="1"/>
      <w:numFmt w:val="decimal"/>
      <w:lvlText w:val="%1."/>
      <w:lvlJc w:val="left"/>
      <w:pPr>
        <w:ind w:left="2912" w:hanging="360"/>
      </w:pPr>
      <w:rPr>
        <w:rFonts w:ascii="Helvetica" w:hAnsi="Helvetica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308226CB"/>
    <w:multiLevelType w:val="hybridMultilevel"/>
    <w:tmpl w:val="8454E966"/>
    <w:lvl w:ilvl="0" w:tplc="7E88C7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586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44C38"/>
    <w:multiLevelType w:val="hybridMultilevel"/>
    <w:tmpl w:val="A560FD62"/>
    <w:lvl w:ilvl="0" w:tplc="377E2DF0">
      <w:start w:val="3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70E55B95"/>
    <w:multiLevelType w:val="hybridMultilevel"/>
    <w:tmpl w:val="19928028"/>
    <w:lvl w:ilvl="0" w:tplc="F19481B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2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B61D9"/>
    <w:multiLevelType w:val="hybridMultilevel"/>
    <w:tmpl w:val="0DACDCB0"/>
    <w:lvl w:ilvl="0" w:tplc="E84661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72DF324E"/>
    <w:multiLevelType w:val="hybridMultilevel"/>
    <w:tmpl w:val="15F843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9288A"/>
    <w:multiLevelType w:val="hybridMultilevel"/>
    <w:tmpl w:val="3A264D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0829DB"/>
    <w:multiLevelType w:val="hybridMultilevel"/>
    <w:tmpl w:val="CC6615A4"/>
    <w:lvl w:ilvl="0" w:tplc="A14ED37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650DA"/>
    <w:multiLevelType w:val="hybridMultilevel"/>
    <w:tmpl w:val="71BE1A36"/>
    <w:lvl w:ilvl="0" w:tplc="711E08A2">
      <w:start w:val="1"/>
      <w:numFmt w:val="decimal"/>
      <w:lvlText w:val="%1)"/>
      <w:lvlJc w:val="left"/>
      <w:pPr>
        <w:ind w:left="3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6" w:hanging="360"/>
      </w:pPr>
    </w:lvl>
    <w:lvl w:ilvl="2" w:tplc="0405001B" w:tentative="1">
      <w:start w:val="1"/>
      <w:numFmt w:val="lowerRoman"/>
      <w:lvlText w:val="%3."/>
      <w:lvlJc w:val="right"/>
      <w:pPr>
        <w:ind w:left="1796" w:hanging="180"/>
      </w:pPr>
    </w:lvl>
    <w:lvl w:ilvl="3" w:tplc="0405000F" w:tentative="1">
      <w:start w:val="1"/>
      <w:numFmt w:val="decimal"/>
      <w:lvlText w:val="%4."/>
      <w:lvlJc w:val="left"/>
      <w:pPr>
        <w:ind w:left="2516" w:hanging="360"/>
      </w:pPr>
    </w:lvl>
    <w:lvl w:ilvl="4" w:tplc="04050019" w:tentative="1">
      <w:start w:val="1"/>
      <w:numFmt w:val="lowerLetter"/>
      <w:lvlText w:val="%5."/>
      <w:lvlJc w:val="left"/>
      <w:pPr>
        <w:ind w:left="3236" w:hanging="360"/>
      </w:pPr>
    </w:lvl>
    <w:lvl w:ilvl="5" w:tplc="0405001B" w:tentative="1">
      <w:start w:val="1"/>
      <w:numFmt w:val="lowerRoman"/>
      <w:lvlText w:val="%6."/>
      <w:lvlJc w:val="right"/>
      <w:pPr>
        <w:ind w:left="3956" w:hanging="180"/>
      </w:pPr>
    </w:lvl>
    <w:lvl w:ilvl="6" w:tplc="0405000F" w:tentative="1">
      <w:start w:val="1"/>
      <w:numFmt w:val="decimal"/>
      <w:lvlText w:val="%7."/>
      <w:lvlJc w:val="left"/>
      <w:pPr>
        <w:ind w:left="4676" w:hanging="360"/>
      </w:pPr>
    </w:lvl>
    <w:lvl w:ilvl="7" w:tplc="04050019" w:tentative="1">
      <w:start w:val="1"/>
      <w:numFmt w:val="lowerLetter"/>
      <w:lvlText w:val="%8."/>
      <w:lvlJc w:val="left"/>
      <w:pPr>
        <w:ind w:left="5396" w:hanging="360"/>
      </w:pPr>
    </w:lvl>
    <w:lvl w:ilvl="8" w:tplc="040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3">
    <w:nsid w:val="7C7454A9"/>
    <w:multiLevelType w:val="hybridMultilevel"/>
    <w:tmpl w:val="8D86D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99"/>
    <w:qFormat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 w:val="0"/>
      <w:autoSpaceDE w:val="0"/>
      <w:autoSpaceDN w:val="0"/>
      <w:spacing w:after="0" w:line="240" w:lineRule="auto"/>
      <w:jc w:val="center"/>
    </w:pPr>
    <w:rPr>
      <w:rFonts w:ascii="Times New Roman CE obyeejné" w:eastAsia="Times New Roman" w:hAnsi="Times New Roman CE obyeejné" w:cs="Times New Roman CE obyeejné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Pr>
      <w:rFonts w:ascii="Times New Roman CE obyeejné" w:hAnsi="Times New Roman CE obyeejné" w:cs="Times New Roman CE obyeejné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99"/>
    <w:qFormat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 w:val="0"/>
      <w:autoSpaceDE w:val="0"/>
      <w:autoSpaceDN w:val="0"/>
      <w:spacing w:after="0" w:line="240" w:lineRule="auto"/>
      <w:jc w:val="center"/>
    </w:pPr>
    <w:rPr>
      <w:rFonts w:ascii="Times New Roman CE obyeejné" w:eastAsia="Times New Roman" w:hAnsi="Times New Roman CE obyeejné" w:cs="Times New Roman CE obyeejné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Pr>
      <w:rFonts w:ascii="Times New Roman CE obyeejné" w:hAnsi="Times New Roman CE obyeejné" w:cs="Times New Roman CE obyeejné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portal.mpsv.cz/sz/stat/nz/mes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mpsv.cz/sz/stat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10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kuckova\AppData\Local\Microsoft\Windows\Temporary%20Internet%20Files\Content.Outlook\0HH8W2W3\zpr&#225;va%20o%20&#269;innost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9D40-EDE0-4202-B564-DF4752BE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zpráva o činnosti.dotx</Template>
  <TotalTime>1030</TotalTime>
  <Pages>9</Pages>
  <Words>1114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UserGR</dc:creator>
  <cp:lastModifiedBy>Tuček Michal Bc. (UPU-KRP)</cp:lastModifiedBy>
  <cp:revision>77</cp:revision>
  <cp:lastPrinted>2019-08-07T08:47:00Z</cp:lastPrinted>
  <dcterms:created xsi:type="dcterms:W3CDTF">2019-03-26T12:04:00Z</dcterms:created>
  <dcterms:modified xsi:type="dcterms:W3CDTF">2019-09-06T10:34:00Z</dcterms:modified>
</cp:coreProperties>
</file>