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5" w:rsidRPr="002F3632" w:rsidRDefault="00971EE5">
      <w:pPr>
        <w:rPr>
          <w:rFonts w:asciiTheme="majorHAnsi" w:hAnsiTheme="majorHAnsi"/>
          <w:b/>
          <w:sz w:val="28"/>
          <w:szCs w:val="28"/>
        </w:rPr>
      </w:pPr>
      <w:r w:rsidRPr="002F3632">
        <w:rPr>
          <w:rFonts w:asciiTheme="majorHAnsi" w:hAnsiTheme="majorHAnsi"/>
          <w:b/>
          <w:sz w:val="28"/>
          <w:szCs w:val="28"/>
        </w:rPr>
        <w:t>Zkušenosti s nedostatky při vyřizování žádostí</w:t>
      </w:r>
    </w:p>
    <w:p w:rsidR="00971EE5" w:rsidRDefault="00971EE5" w:rsidP="00971EE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2F3632">
        <w:rPr>
          <w:rFonts w:asciiTheme="majorHAnsi" w:hAnsiTheme="majorHAnsi"/>
        </w:rPr>
        <w:t xml:space="preserve">Do žádosti </w:t>
      </w:r>
      <w:r w:rsidRPr="002F3632">
        <w:rPr>
          <w:rFonts w:asciiTheme="majorHAnsi" w:hAnsiTheme="majorHAnsi"/>
          <w:b/>
        </w:rPr>
        <w:t>zadávejte uchazeče v pořadí, podle toho jak jsou pro Vás důležití</w:t>
      </w:r>
      <w:r w:rsidRPr="002F3632">
        <w:rPr>
          <w:rFonts w:asciiTheme="majorHAnsi" w:hAnsiTheme="majorHAnsi"/>
        </w:rPr>
        <w:t>. Jejich zaměstnanecké karty se pro ně budou totiž v tomto pořadí vyřizovat.</w:t>
      </w:r>
    </w:p>
    <w:p w:rsidR="002F3632" w:rsidRPr="002F3632" w:rsidRDefault="002F3632" w:rsidP="002F3632">
      <w:pPr>
        <w:pStyle w:val="Odstavecseseznamem"/>
        <w:rPr>
          <w:rFonts w:asciiTheme="majorHAnsi" w:hAnsiTheme="majorHAnsi"/>
        </w:rPr>
      </w:pPr>
    </w:p>
    <w:p w:rsidR="002F3632" w:rsidRDefault="00971EE5" w:rsidP="002F363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</w:rPr>
      </w:pPr>
      <w:r w:rsidRPr="002F3632">
        <w:rPr>
          <w:rFonts w:asciiTheme="majorHAnsi" w:hAnsiTheme="majorHAnsi"/>
          <w:b/>
        </w:rPr>
        <w:t>Mzda na danou profesi by se neměla schválně podhodnocovat</w:t>
      </w:r>
      <w:r w:rsidRPr="002F3632">
        <w:rPr>
          <w:rFonts w:asciiTheme="majorHAnsi" w:hAnsiTheme="majorHAnsi"/>
        </w:rPr>
        <w:t xml:space="preserve">, tak aby nebyla zajímavá pro české uchazeče. Nejideálnější pro danou pozici, při zadávání volných pracovních míst na úřadu práce, je zvolit medián mzdy v dané profesi. </w:t>
      </w:r>
      <w:hyperlink r:id="rId5" w:history="1">
        <w:r w:rsidRPr="002F3632">
          <w:rPr>
            <w:rStyle w:val="Hypertextovodkaz"/>
            <w:rFonts w:asciiTheme="majorHAnsi" w:hAnsiTheme="majorHAnsi"/>
          </w:rPr>
          <w:t>Ke zjištění ZDE</w:t>
        </w:r>
      </w:hyperlink>
    </w:p>
    <w:p w:rsidR="002F3632" w:rsidRPr="002F3632" w:rsidRDefault="002F3632" w:rsidP="002F3632">
      <w:pPr>
        <w:spacing w:after="0" w:line="240" w:lineRule="auto"/>
        <w:rPr>
          <w:rFonts w:asciiTheme="majorHAnsi" w:hAnsiTheme="majorHAnsi"/>
        </w:rPr>
      </w:pPr>
    </w:p>
    <w:p w:rsidR="0026153A" w:rsidRPr="002F3632" w:rsidRDefault="00971EE5" w:rsidP="0026153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2F3632">
        <w:rPr>
          <w:rFonts w:asciiTheme="majorHAnsi" w:hAnsiTheme="majorHAnsi"/>
          <w:b/>
        </w:rPr>
        <w:t>Smlouva o budoucí smlouvě/dohodě o pracovní činnosti</w:t>
      </w:r>
      <w:r w:rsidRPr="002F3632">
        <w:rPr>
          <w:rFonts w:asciiTheme="majorHAnsi" w:hAnsiTheme="majorHAnsi"/>
        </w:rPr>
        <w:t xml:space="preserve"> musí splňovat stejné náležitosti jako samotná pracovní smlouva/dohoda o pracovní činnosti. Zároveň musí splňovat požadavky, které jste si stanovili na portále MPSV</w:t>
      </w:r>
      <w:r w:rsidR="0026153A" w:rsidRPr="002F3632">
        <w:rPr>
          <w:rFonts w:asciiTheme="majorHAnsi" w:hAnsiTheme="majorHAnsi"/>
        </w:rPr>
        <w:t>, při zadávání oněch pracovních míst, mělo by vše spolu souhlasit (výš mzdy, termín nástupu do zaměstnání, doba zaměstnání,…).</w:t>
      </w:r>
    </w:p>
    <w:p w:rsidR="0026153A" w:rsidRPr="002F3632" w:rsidRDefault="0026153A" w:rsidP="0026153A">
      <w:pPr>
        <w:rPr>
          <w:rFonts w:asciiTheme="majorHAnsi" w:hAnsiTheme="majorHAnsi"/>
          <w:b/>
          <w:sz w:val="28"/>
          <w:szCs w:val="28"/>
        </w:rPr>
      </w:pPr>
      <w:r w:rsidRPr="002F3632">
        <w:rPr>
          <w:rFonts w:asciiTheme="majorHAnsi" w:hAnsiTheme="majorHAnsi"/>
          <w:b/>
          <w:sz w:val="28"/>
          <w:szCs w:val="28"/>
        </w:rPr>
        <w:t>Připomínky k projektu Režim Ukrajina</w:t>
      </w:r>
    </w:p>
    <w:p w:rsidR="0026153A" w:rsidRPr="002F3632" w:rsidRDefault="0026153A" w:rsidP="00B37CD9">
      <w:pPr>
        <w:rPr>
          <w:rFonts w:asciiTheme="majorHAnsi" w:hAnsiTheme="majorHAnsi"/>
        </w:rPr>
      </w:pPr>
      <w:r w:rsidRPr="002F3632">
        <w:rPr>
          <w:rFonts w:asciiTheme="majorHAnsi" w:hAnsiTheme="majorHAnsi"/>
        </w:rPr>
        <w:t>Zhruba 50% příchozích karet trpí nějakým nedostatkem.</w:t>
      </w:r>
      <w:r w:rsidR="00B37CD9" w:rsidRPr="002F3632">
        <w:rPr>
          <w:rFonts w:asciiTheme="majorHAnsi" w:hAnsiTheme="majorHAnsi"/>
        </w:rPr>
        <w:t xml:space="preserve"> Ten se řeší telefonicky, příp. výzvou, ale řízení je mezitím přerušeno.</w:t>
      </w:r>
    </w:p>
    <w:p w:rsidR="00B37CD9" w:rsidRPr="002F3632" w:rsidRDefault="00B37CD9" w:rsidP="00B37CD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2F3632">
        <w:rPr>
          <w:rFonts w:asciiTheme="majorHAnsi" w:hAnsiTheme="majorHAnsi"/>
          <w:b/>
        </w:rPr>
        <w:t>všechny doklady</w:t>
      </w:r>
      <w:r w:rsidRPr="002F3632">
        <w:rPr>
          <w:rFonts w:asciiTheme="majorHAnsi" w:hAnsiTheme="majorHAnsi"/>
        </w:rPr>
        <w:t xml:space="preserve"> musí být v originále či jako ověřené kopie (u cizojazyčných musí být úřední překlad do jazyka českého)</w:t>
      </w:r>
    </w:p>
    <w:p w:rsidR="002F3632" w:rsidRPr="002F3632" w:rsidRDefault="002F3632" w:rsidP="002F3632">
      <w:pPr>
        <w:pStyle w:val="Odstavecseseznamem"/>
        <w:rPr>
          <w:rFonts w:asciiTheme="majorHAnsi" w:hAnsiTheme="majorHAnsi"/>
        </w:rPr>
      </w:pPr>
    </w:p>
    <w:p w:rsidR="00B37CD9" w:rsidRPr="002F3632" w:rsidRDefault="00B37CD9" w:rsidP="00B37CD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2F3632">
        <w:rPr>
          <w:rFonts w:asciiTheme="majorHAnsi" w:hAnsiTheme="majorHAnsi"/>
          <w:b/>
        </w:rPr>
        <w:t>doklad o zajištění ubytování</w:t>
      </w:r>
      <w:r w:rsidRPr="002F3632">
        <w:rPr>
          <w:rFonts w:asciiTheme="majorHAnsi" w:hAnsiTheme="majorHAnsi"/>
        </w:rPr>
        <w:t xml:space="preserve"> ve formě nájemní smlouvy s podpisy obou smluvních stran (v případě, že nepronajímá majitel, je třeba prokázat oprávnění k pronájmu – př. plná moc, nájemní smlouva) a potvrzení o zajištění ubytování (nesmí být starší 180 dnů, podpis vlastníka či osoby oprávněné poskytovat potvrzení o zajištění ubytování musí být úředně ověřen)</w:t>
      </w:r>
    </w:p>
    <w:p w:rsidR="002F3632" w:rsidRPr="002F3632" w:rsidRDefault="002F3632" w:rsidP="002F3632">
      <w:pPr>
        <w:pStyle w:val="Odstavecseseznamem"/>
        <w:rPr>
          <w:rFonts w:asciiTheme="majorHAnsi" w:hAnsiTheme="majorHAnsi"/>
        </w:rPr>
      </w:pPr>
    </w:p>
    <w:p w:rsidR="00B37CD9" w:rsidRPr="002F3632" w:rsidRDefault="00B37CD9" w:rsidP="00B37CD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2F3632">
        <w:rPr>
          <w:rFonts w:asciiTheme="majorHAnsi" w:hAnsiTheme="majorHAnsi"/>
        </w:rPr>
        <w:t xml:space="preserve">doklad prokazující pracovněprávní vztah </w:t>
      </w:r>
    </w:p>
    <w:p w:rsidR="002F3632" w:rsidRPr="002F3632" w:rsidRDefault="00B37CD9" w:rsidP="002F3632">
      <w:pPr>
        <w:pStyle w:val="Normln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Theme="majorHAnsi" w:hAnsiTheme="majorHAnsi"/>
          <w:i/>
          <w:sz w:val="28"/>
          <w:szCs w:val="28"/>
        </w:rPr>
      </w:pPr>
      <w:r w:rsidRPr="002F3632">
        <w:rPr>
          <w:rFonts w:asciiTheme="majorHAnsi" w:hAnsiTheme="majorHAnsi"/>
          <w:i/>
          <w:sz w:val="28"/>
          <w:szCs w:val="28"/>
        </w:rPr>
        <w:t>pracovní smlouva: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ind w:left="1440"/>
        <w:rPr>
          <w:rFonts w:asciiTheme="majorHAnsi" w:hAnsiTheme="majorHAnsi"/>
          <w:i/>
          <w:sz w:val="28"/>
          <w:szCs w:val="28"/>
        </w:rPr>
      </w:pPr>
    </w:p>
    <w:p w:rsidR="002F3632" w:rsidRPr="002F3632" w:rsidRDefault="00B37CD9" w:rsidP="002F3632">
      <w:pPr>
        <w:pStyle w:val="Normlnweb"/>
        <w:numPr>
          <w:ilvl w:val="2"/>
          <w:numId w:val="1"/>
        </w:numPr>
        <w:spacing w:before="0" w:beforeAutospacing="0" w:after="0" w:afterAutospacing="0"/>
        <w:ind w:left="2154" w:hanging="357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b/>
          <w:sz w:val="22"/>
          <w:szCs w:val="22"/>
        </w:rPr>
        <w:t>den nástupu</w:t>
      </w:r>
      <w:r w:rsidRPr="002F3632">
        <w:rPr>
          <w:rFonts w:asciiTheme="majorHAnsi" w:hAnsiTheme="majorHAnsi"/>
          <w:sz w:val="22"/>
          <w:szCs w:val="22"/>
        </w:rPr>
        <w:t xml:space="preserve"> - není-li pevně daný či jej není možné stanovit, lze např. uvést „den následující po dni získání potvrzení o splnění podmínek žadatele o zaměstnaneckou kartu“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ind w:left="1797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pStyle w:val="Normlnweb"/>
        <w:numPr>
          <w:ilvl w:val="2"/>
          <w:numId w:val="1"/>
        </w:numPr>
        <w:spacing w:before="0" w:beforeAutospacing="0" w:after="0" w:afterAutospacing="0"/>
        <w:ind w:left="2154" w:hanging="357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b/>
          <w:sz w:val="22"/>
          <w:szCs w:val="22"/>
        </w:rPr>
        <w:t>druh práce</w:t>
      </w:r>
      <w:r w:rsidRPr="002F3632">
        <w:rPr>
          <w:rFonts w:asciiTheme="majorHAnsi" w:hAnsiTheme="majorHAnsi"/>
          <w:sz w:val="22"/>
          <w:szCs w:val="22"/>
        </w:rPr>
        <w:t xml:space="preserve"> – musí odpovídat druhu práce nahlášeném</w:t>
      </w:r>
      <w:r w:rsidR="002F3632" w:rsidRPr="002F3632">
        <w:rPr>
          <w:rFonts w:asciiTheme="majorHAnsi" w:hAnsiTheme="majorHAnsi"/>
          <w:sz w:val="22"/>
          <w:szCs w:val="22"/>
        </w:rPr>
        <w:t>u</w:t>
      </w:r>
      <w:r w:rsidRPr="002F3632">
        <w:rPr>
          <w:rFonts w:asciiTheme="majorHAnsi" w:hAnsiTheme="majorHAnsi"/>
          <w:sz w:val="22"/>
          <w:szCs w:val="22"/>
        </w:rPr>
        <w:t xml:space="preserve"> v Evidenci volných pracovních míst </w:t>
      </w:r>
      <w:proofErr w:type="spellStart"/>
      <w:r w:rsidRPr="002F3632">
        <w:rPr>
          <w:rFonts w:asciiTheme="majorHAnsi" w:hAnsiTheme="majorHAnsi"/>
          <w:sz w:val="22"/>
          <w:szCs w:val="22"/>
        </w:rPr>
        <w:t>obsaditelných</w:t>
      </w:r>
      <w:proofErr w:type="spellEnd"/>
      <w:r w:rsidRPr="002F3632">
        <w:rPr>
          <w:rFonts w:asciiTheme="majorHAnsi" w:hAnsiTheme="majorHAnsi"/>
          <w:sz w:val="22"/>
          <w:szCs w:val="22"/>
        </w:rPr>
        <w:t xml:space="preserve"> držiteli zaměstnanecké karty (dále EVPM)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pStyle w:val="Normlnweb"/>
        <w:numPr>
          <w:ilvl w:val="2"/>
          <w:numId w:val="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b/>
          <w:sz w:val="22"/>
          <w:szCs w:val="22"/>
        </w:rPr>
        <w:t>místo výkonu</w:t>
      </w:r>
      <w:r w:rsidRPr="002F3632">
        <w:rPr>
          <w:rFonts w:asciiTheme="majorHAnsi" w:hAnsiTheme="majorHAnsi"/>
          <w:sz w:val="22"/>
          <w:szCs w:val="22"/>
        </w:rPr>
        <w:t xml:space="preserve"> – musí odpovídat místu výkonu </w:t>
      </w:r>
      <w:r w:rsidR="002F3632" w:rsidRPr="002F3632">
        <w:rPr>
          <w:rFonts w:asciiTheme="majorHAnsi" w:hAnsiTheme="majorHAnsi"/>
          <w:sz w:val="22"/>
          <w:szCs w:val="22"/>
        </w:rPr>
        <w:t>nahlášenému</w:t>
      </w:r>
      <w:r w:rsidRPr="002F3632">
        <w:rPr>
          <w:rFonts w:asciiTheme="majorHAnsi" w:hAnsiTheme="majorHAnsi"/>
          <w:sz w:val="22"/>
          <w:szCs w:val="22"/>
        </w:rPr>
        <w:t xml:space="preserve"> v EVPM; je třeba uvést jedno místo výkonu práce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pStyle w:val="Normlnweb"/>
        <w:numPr>
          <w:ilvl w:val="2"/>
          <w:numId w:val="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b/>
          <w:sz w:val="22"/>
          <w:szCs w:val="22"/>
        </w:rPr>
        <w:t>výše mzdy/platu</w:t>
      </w:r>
      <w:r w:rsidRPr="002F3632">
        <w:rPr>
          <w:rFonts w:asciiTheme="majorHAnsi" w:hAnsiTheme="majorHAnsi"/>
          <w:sz w:val="22"/>
          <w:szCs w:val="22"/>
        </w:rPr>
        <w:t xml:space="preserve"> musí korespondovat  s výší mzdy/platu nahlášeném v</w:t>
      </w:r>
      <w:r w:rsidR="002F3632" w:rsidRPr="002F3632">
        <w:rPr>
          <w:rFonts w:asciiTheme="majorHAnsi" w:hAnsiTheme="majorHAnsi"/>
          <w:sz w:val="22"/>
          <w:szCs w:val="22"/>
        </w:rPr>
        <w:t> </w:t>
      </w:r>
      <w:r w:rsidRPr="002F3632">
        <w:rPr>
          <w:rFonts w:asciiTheme="majorHAnsi" w:hAnsiTheme="majorHAnsi"/>
          <w:sz w:val="22"/>
          <w:szCs w:val="22"/>
        </w:rPr>
        <w:t>EVPM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pStyle w:val="Normlnweb"/>
        <w:numPr>
          <w:ilvl w:val="2"/>
          <w:numId w:val="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b/>
          <w:sz w:val="22"/>
          <w:szCs w:val="22"/>
        </w:rPr>
        <w:t>smlouva musí být podepsána oběma stranami</w:t>
      </w:r>
      <w:r w:rsidRPr="002F3632">
        <w:rPr>
          <w:rFonts w:asciiTheme="majorHAnsi" w:hAnsiTheme="majorHAnsi"/>
          <w:sz w:val="22"/>
          <w:szCs w:val="22"/>
        </w:rPr>
        <w:t xml:space="preserve">, za stranu zaměstnavatele oprávněnou osobou (nejčastěji jednatelem společnosti či </w:t>
      </w:r>
      <w:r w:rsidRPr="002F3632">
        <w:rPr>
          <w:rFonts w:asciiTheme="majorHAnsi" w:hAnsiTheme="majorHAnsi"/>
          <w:sz w:val="22"/>
          <w:szCs w:val="22"/>
        </w:rPr>
        <w:lastRenderedPageBreak/>
        <w:t>osobou k tomu pověřenou, v takovém případě je třeba prokázat oprávnění plnou mocí či jiným druhem pověření).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Default="00B37CD9" w:rsidP="002F3632">
      <w:pPr>
        <w:pStyle w:val="Normlnweb"/>
        <w:numPr>
          <w:ilvl w:val="1"/>
          <w:numId w:val="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i/>
          <w:sz w:val="28"/>
          <w:szCs w:val="28"/>
        </w:rPr>
        <w:t>smlouva o budoucí pracovní smlouvě/dohodě o pracovní činnosti</w:t>
      </w:r>
      <w:r w:rsidRPr="002F3632">
        <w:rPr>
          <w:rFonts w:asciiTheme="majorHAnsi" w:hAnsiTheme="majorHAnsi"/>
          <w:sz w:val="22"/>
          <w:szCs w:val="22"/>
        </w:rPr>
        <w:t>: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pStyle w:val="Normlnweb"/>
        <w:numPr>
          <w:ilvl w:val="2"/>
          <w:numId w:val="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sz w:val="22"/>
          <w:szCs w:val="22"/>
        </w:rPr>
        <w:t>musí splňovat stejné náležitosti jako pracovní smlouva/dohoda o pracovní činnosti</w:t>
      </w:r>
    </w:p>
    <w:p w:rsidR="002F3632" w:rsidRDefault="002F3632" w:rsidP="002F3632">
      <w:pPr>
        <w:pStyle w:val="Normlnweb"/>
        <w:spacing w:before="0" w:beforeAutospacing="0" w:after="0" w:afterAutospacing="0"/>
        <w:ind w:left="2160"/>
        <w:rPr>
          <w:rFonts w:asciiTheme="majorHAnsi" w:hAnsiTheme="majorHAnsi"/>
          <w:sz w:val="22"/>
          <w:szCs w:val="22"/>
        </w:rPr>
      </w:pPr>
    </w:p>
    <w:p w:rsidR="00B37CD9" w:rsidRDefault="00B37CD9" w:rsidP="002F3632">
      <w:pPr>
        <w:pStyle w:val="Normlnweb"/>
        <w:numPr>
          <w:ilvl w:val="2"/>
          <w:numId w:val="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sz w:val="22"/>
          <w:szCs w:val="22"/>
        </w:rPr>
        <w:t>musí být specifikována lhůta, v níž mají strany uzavřít pracovní smlouvu či dohodu o pracovní činnosti, přičemž ta musí končit nejpozději s vydáním zaměstnanecké karty – s plněním účelu již musí být spojena existence pracovněprávního vztahu. Mezi nejčastější chyby zde patří den nástupu následující až po vydání zaměstnanecké karty a ustanovení, ve kterém se strany dohodnou, že musí být smlouva/dohoda uzavřena do stanoveného dne, který, než dojde k rozhodnutí, uplyne, jinak, že závazek uzavřít smlouvu/dohodu zaniká.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sz w:val="22"/>
          <w:szCs w:val="22"/>
        </w:rPr>
        <w:t>doklady prokazující odbornou způsobilost pro výkon požadovaného zaměstnání, pokud tato podmínka vyplývá z charakteru zaměstnání nebo ji stanoví mezinárodní smlouva, zejména</w:t>
      </w:r>
    </w:p>
    <w:p w:rsidR="00B37CD9" w:rsidRDefault="00B37CD9" w:rsidP="002F3632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b/>
          <w:sz w:val="22"/>
          <w:szCs w:val="22"/>
        </w:rPr>
        <w:t>doklad prokazující požadované vzdělání (např. diplom) - musí odpovídat požadavku na stupeň vzdělání nahlášeném v</w:t>
      </w:r>
      <w:r w:rsidR="002F3632">
        <w:rPr>
          <w:rFonts w:asciiTheme="majorHAnsi" w:hAnsiTheme="majorHAnsi"/>
          <w:b/>
          <w:sz w:val="22"/>
          <w:szCs w:val="22"/>
        </w:rPr>
        <w:t> </w:t>
      </w:r>
      <w:r w:rsidRPr="002F3632">
        <w:rPr>
          <w:rFonts w:asciiTheme="majorHAnsi" w:hAnsiTheme="majorHAnsi"/>
          <w:b/>
          <w:sz w:val="22"/>
          <w:szCs w:val="22"/>
        </w:rPr>
        <w:t>EVPM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</w:p>
    <w:p w:rsidR="00B37CD9" w:rsidRDefault="00B37CD9" w:rsidP="002F3632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sz w:val="22"/>
          <w:szCs w:val="22"/>
        </w:rPr>
        <w:t>doklad prokazující požadovanou odbornou kvalifikaci, je-li podle jiných právních předpisů vyžadována,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Default="00B37CD9" w:rsidP="002F3632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sz w:val="22"/>
          <w:szCs w:val="22"/>
        </w:rPr>
        <w:t> doklad prokazující, že splňujete podmínky pro výkon tzv. regulovaného povolání, jde-li o takové povolání</w:t>
      </w:r>
    </w:p>
    <w:p w:rsidR="002F3632" w:rsidRPr="002F3632" w:rsidRDefault="002F3632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F3632">
        <w:rPr>
          <w:rFonts w:asciiTheme="majorHAnsi" w:hAnsiTheme="majorHAnsi"/>
          <w:sz w:val="22"/>
          <w:szCs w:val="22"/>
        </w:rPr>
        <w:t xml:space="preserve">povolání </w:t>
      </w:r>
      <w:r w:rsidRPr="002F3632">
        <w:rPr>
          <w:rFonts w:asciiTheme="majorHAnsi" w:hAnsiTheme="majorHAnsi"/>
          <w:b/>
          <w:sz w:val="22"/>
          <w:szCs w:val="22"/>
        </w:rPr>
        <w:t xml:space="preserve">řidič </w:t>
      </w:r>
      <w:r w:rsidRPr="002F3632">
        <w:rPr>
          <w:rFonts w:asciiTheme="majorHAnsi" w:hAnsiTheme="majorHAnsi"/>
          <w:sz w:val="22"/>
          <w:szCs w:val="22"/>
        </w:rPr>
        <w:t>– je třeba dokládat řidičský průkaz platný na území ČR (dle evropských úmluv), nikoli ukrajinský ŘP, který neodpovídá požadavkům</w:t>
      </w:r>
    </w:p>
    <w:p w:rsidR="00B37CD9" w:rsidRPr="002F3632" w:rsidRDefault="00B37CD9" w:rsidP="002F3632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B37CD9" w:rsidRPr="002F3632" w:rsidRDefault="00B37CD9" w:rsidP="002F363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F3632">
        <w:rPr>
          <w:rFonts w:asciiTheme="majorHAnsi" w:hAnsiTheme="majorHAnsi"/>
          <w:b/>
          <w:sz w:val="28"/>
          <w:szCs w:val="28"/>
        </w:rPr>
        <w:t>Obecná doporučení:</w:t>
      </w:r>
    </w:p>
    <w:p w:rsidR="004839D2" w:rsidRPr="004839D2" w:rsidRDefault="004839D2" w:rsidP="004839D2">
      <w:pPr>
        <w:spacing w:after="0" w:line="240" w:lineRule="auto"/>
        <w:rPr>
          <w:rFonts w:asciiTheme="majorHAnsi" w:hAnsiTheme="majorHAnsi"/>
        </w:rPr>
      </w:pPr>
    </w:p>
    <w:p w:rsidR="00B37CD9" w:rsidRDefault="00B37CD9" w:rsidP="0013374B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/>
        </w:rPr>
      </w:pPr>
      <w:r w:rsidRPr="004839D2">
        <w:rPr>
          <w:rFonts w:asciiTheme="majorHAnsi" w:hAnsiTheme="majorHAnsi"/>
          <w:b/>
        </w:rPr>
        <w:t>podmínky zaměstnání určuje zaměstnavatel uvedením požadovaných údajů do EVPM</w:t>
      </w:r>
      <w:r w:rsidRPr="002F3632">
        <w:rPr>
          <w:rFonts w:asciiTheme="majorHAnsi" w:hAnsiTheme="majorHAnsi"/>
        </w:rPr>
        <w:t>, při rozhodování o žádosti musí pracovní smlouva či smlouva o smlouvě budoucí s těmito požadavky korespondovat</w:t>
      </w:r>
    </w:p>
    <w:p w:rsidR="004839D2" w:rsidRPr="002F3632" w:rsidRDefault="004839D2" w:rsidP="004839D2">
      <w:pPr>
        <w:pStyle w:val="Odstavecseseznamem"/>
        <w:spacing w:after="0" w:line="240" w:lineRule="auto"/>
        <w:contextualSpacing w:val="0"/>
        <w:rPr>
          <w:rFonts w:asciiTheme="majorHAnsi" w:hAnsiTheme="majorHAnsi"/>
        </w:rPr>
      </w:pPr>
    </w:p>
    <w:p w:rsidR="00B37CD9" w:rsidRPr="002F3632" w:rsidRDefault="00B37CD9" w:rsidP="0013374B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/>
        </w:rPr>
      </w:pPr>
      <w:r w:rsidRPr="004839D2">
        <w:rPr>
          <w:rFonts w:asciiTheme="majorHAnsi" w:hAnsiTheme="majorHAnsi"/>
          <w:b/>
        </w:rPr>
        <w:t>v případě, že žádost o zaměstnaneckou kartu trpí vadami, je k jejich odstranění vyzýván písemně žadatel (cizinec),</w:t>
      </w:r>
      <w:r w:rsidRPr="002F3632">
        <w:rPr>
          <w:rFonts w:asciiTheme="majorHAnsi" w:hAnsiTheme="majorHAnsi"/>
        </w:rPr>
        <w:t xml:space="preserve"> pokud má zaměstnavatel personální pracovníky, kteří připravují budoucím zaměstnancům náležitosti pro zaměstnanecké karty, je možné, aby tito personalisté byli písemně zmocněni pro řízení o zaměstnanecké kartě, či pro jeho část. Následně bude možné vyzvat tyto zplnomocněné pracovníky k odstranění vad. Plná moc musí být přiložena v písemné podobě, musí splňovat podmínky § </w:t>
      </w:r>
      <w:proofErr w:type="gramStart"/>
      <w:r w:rsidRPr="002F3632">
        <w:rPr>
          <w:rFonts w:asciiTheme="majorHAnsi" w:hAnsiTheme="majorHAnsi"/>
        </w:rPr>
        <w:t>33 z.č 500/2004</w:t>
      </w:r>
      <w:proofErr w:type="gramEnd"/>
      <w:r w:rsidRPr="002F3632">
        <w:rPr>
          <w:rFonts w:asciiTheme="majorHAnsi" w:hAnsiTheme="majorHAnsi"/>
        </w:rPr>
        <w:t xml:space="preserve"> Sb., Správní řád (Z plné moci musí být zřejmé, kdo ji uděluje – jméno, příjmení, datum narození, st. příslušnost, komu je plná moc udělena – jméno, příjmení, datum narození, adresa pro doručování, jakého řízení či jakých částí řízení se týká – žádost o zaměstnaneckou kartu; v jakém rozsahu je oprávnění uděleno, datum, podpis osoby udělující plnou moc, podpis osoby, která je zplnomocněna vč. jejího souhlasu, podpisy nemusí být úředně ověřeny)</w:t>
      </w:r>
    </w:p>
    <w:p w:rsidR="00B37CD9" w:rsidRPr="002F3632" w:rsidRDefault="00B37CD9" w:rsidP="002F3632">
      <w:pPr>
        <w:spacing w:after="0" w:line="240" w:lineRule="auto"/>
        <w:rPr>
          <w:rFonts w:asciiTheme="majorHAnsi" w:hAnsiTheme="majorHAnsi"/>
        </w:rPr>
      </w:pPr>
    </w:p>
    <w:p w:rsidR="00971EE5" w:rsidRPr="004839D2" w:rsidRDefault="00971EE5" w:rsidP="004839D2">
      <w:pPr>
        <w:pStyle w:val="Normln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:rsidR="00B169BA" w:rsidRPr="004839D2" w:rsidRDefault="0030071C" w:rsidP="002F363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839D2">
        <w:rPr>
          <w:rFonts w:asciiTheme="majorHAnsi" w:hAnsiTheme="majorHAnsi"/>
          <w:b/>
          <w:sz w:val="28"/>
          <w:szCs w:val="28"/>
        </w:rPr>
        <w:lastRenderedPageBreak/>
        <w:t>Často kladené dotazy</w:t>
      </w:r>
    </w:p>
    <w:p w:rsidR="004839D2" w:rsidRPr="002F3632" w:rsidRDefault="004839D2" w:rsidP="002F3632">
      <w:pPr>
        <w:spacing w:after="0" w:line="240" w:lineRule="auto"/>
        <w:rPr>
          <w:rFonts w:asciiTheme="majorHAnsi" w:hAnsiTheme="majorHAnsi"/>
        </w:rPr>
      </w:pPr>
    </w:p>
    <w:p w:rsidR="0030071C" w:rsidRPr="004839D2" w:rsidRDefault="0030071C" w:rsidP="002F3632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4839D2">
        <w:rPr>
          <w:rFonts w:asciiTheme="majorHAnsi" w:hAnsiTheme="majorHAnsi"/>
          <w:b/>
          <w:i/>
          <w:sz w:val="24"/>
          <w:szCs w:val="24"/>
        </w:rPr>
        <w:t>Jak dlouho vyřízení žádosti trvá?</w:t>
      </w:r>
    </w:p>
    <w:p w:rsidR="004839D2" w:rsidRPr="002F3632" w:rsidRDefault="004839D2" w:rsidP="002F3632">
      <w:pPr>
        <w:spacing w:after="0" w:line="240" w:lineRule="auto"/>
        <w:rPr>
          <w:rFonts w:asciiTheme="majorHAnsi" w:hAnsiTheme="majorHAnsi"/>
        </w:rPr>
      </w:pPr>
    </w:p>
    <w:p w:rsidR="0030071C" w:rsidRPr="002F3632" w:rsidRDefault="0030071C" w:rsidP="002F3632">
      <w:pPr>
        <w:spacing w:after="0" w:line="240" w:lineRule="auto"/>
        <w:rPr>
          <w:rFonts w:asciiTheme="majorHAnsi" w:hAnsiTheme="majorHAnsi"/>
          <w:iCs/>
          <w:color w:val="000000" w:themeColor="text1"/>
          <w:shd w:val="clear" w:color="auto" w:fill="FFFFFF"/>
        </w:rPr>
      </w:pPr>
      <w:r w:rsidRPr="002F3632">
        <w:rPr>
          <w:rFonts w:asciiTheme="majorHAnsi" w:hAnsiTheme="majorHAnsi"/>
          <w:color w:val="000000" w:themeColor="text1"/>
        </w:rPr>
        <w:t xml:space="preserve">Velkou roli v době vyřízení hraje pečlivost při podání žádosti. Ovšem od 1. 1. 2017 doba od podání žádosti námi na pověřená ministerstva až k pozvání od generálního konzulátu Vámi navrženého uchazeče o zaměstnaneckou kartu, nyní činí více než 5 měsíců. </w:t>
      </w:r>
      <w:r w:rsidRPr="002F3632">
        <w:rPr>
          <w:rFonts w:asciiTheme="majorHAnsi" w:hAnsiTheme="majorHAnsi"/>
          <w:color w:val="000000" w:themeColor="text1"/>
        </w:rPr>
        <w:br/>
      </w:r>
      <w:r w:rsidRPr="002F3632">
        <w:rPr>
          <w:rFonts w:asciiTheme="majorHAnsi" w:hAnsiTheme="majorHAnsi"/>
          <w:iCs/>
          <w:color w:val="000000" w:themeColor="text1"/>
          <w:shd w:val="clear" w:color="auto" w:fill="FFFFFF"/>
        </w:rPr>
        <w:t>Hospodářská komora České republiky dlouhodobě požaduje od představitelů vlády České republiky zásadní řešení této situace a usiluje o personální posílení Generálního konzulátu ve Lvově a příslušných útvarů Ministerstva vnitra a tím zrychlení procesu při vyřizování žádostí o zaměstnaneckou kartu.</w:t>
      </w:r>
    </w:p>
    <w:p w:rsidR="00971EE5" w:rsidRDefault="00971EE5">
      <w:pPr>
        <w:rPr>
          <w:rFonts w:asciiTheme="majorHAnsi" w:hAnsiTheme="majorHAnsi"/>
          <w:color w:val="000000" w:themeColor="text1"/>
        </w:rPr>
      </w:pPr>
    </w:p>
    <w:p w:rsidR="0013374B" w:rsidRPr="00AC50AC" w:rsidRDefault="0013374B" w:rsidP="0013374B">
      <w:pPr>
        <w:spacing w:after="0" w:line="240" w:lineRule="auto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AC50AC">
        <w:rPr>
          <w:rFonts w:asciiTheme="majorHAnsi" w:hAnsiTheme="majorHAnsi"/>
          <w:b/>
          <w:i/>
          <w:color w:val="000000" w:themeColor="text1"/>
          <w:sz w:val="24"/>
          <w:szCs w:val="24"/>
        </w:rPr>
        <w:t>V čem tedy zařazení do Režimu Ukrajina zrychluje vydání zaměstnanecké karty?</w:t>
      </w:r>
    </w:p>
    <w:p w:rsidR="0013374B" w:rsidRDefault="0013374B" w:rsidP="0013374B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:rsidR="00AC50AC" w:rsidRDefault="00AC50AC" w:rsidP="00AC50AC">
      <w:pPr>
        <w:spacing w:after="0" w:line="240" w:lineRule="auto"/>
        <w:jc w:val="both"/>
        <w:rPr>
          <w:rFonts w:asciiTheme="majorHAnsi" w:hAnsiTheme="majorHAnsi"/>
        </w:rPr>
      </w:pPr>
      <w:r w:rsidRPr="00AC50AC">
        <w:rPr>
          <w:rFonts w:asciiTheme="majorHAnsi" w:hAnsiTheme="majorHAnsi"/>
        </w:rPr>
        <w:t xml:space="preserve">Předem vyhlédnutý uchazeč zařazený do Režimu Ukrajina se nemusí individuálně objednávat k návštěvě konzulárního oddělení a čekat, až na něj dojde řada, ale je napřímo kontaktován konzulárním oddělením a vyzván k návštěvě v konkrétním čase. Na rychlost dalšího, již standardního postupu bude mít potom vliv – stejně jako doposud – mimo jiné úplnost a pečlivost všech náležitostí žádosti samotného uchazeče o udělení víza. Má-li vše uchazeč v pořádku, je kompetentními orgány o vydání víza rozhodnuto – stejně jako doposud – do 60 dní od podání na jeho žádosti konzulárnímu oddělení. </w:t>
      </w:r>
    </w:p>
    <w:p w:rsidR="00AC50AC" w:rsidRPr="00AC50AC" w:rsidRDefault="00AC50AC" w:rsidP="00AC50AC">
      <w:pPr>
        <w:spacing w:after="0" w:line="240" w:lineRule="auto"/>
        <w:jc w:val="both"/>
        <w:rPr>
          <w:rFonts w:asciiTheme="majorHAnsi" w:hAnsiTheme="majorHAnsi"/>
        </w:rPr>
      </w:pPr>
    </w:p>
    <w:p w:rsidR="00AC50AC" w:rsidRPr="00AC50AC" w:rsidRDefault="00AC50AC" w:rsidP="00AC50A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AC50AC">
        <w:rPr>
          <w:rFonts w:asciiTheme="majorHAnsi" w:hAnsiTheme="majorHAnsi"/>
          <w:b/>
          <w:i/>
          <w:sz w:val="24"/>
          <w:szCs w:val="24"/>
        </w:rPr>
        <w:t xml:space="preserve">Může se zaměstnavatel přihlásit do Režimu Ukrajina v případě, že nemá vyhlédnuté konkrétní uchazeče o zaměstnání na Ukrajině? </w:t>
      </w:r>
    </w:p>
    <w:p w:rsidR="00AC50AC" w:rsidRDefault="00AC50AC" w:rsidP="00AC50AC">
      <w:pPr>
        <w:spacing w:after="0" w:line="240" w:lineRule="auto"/>
        <w:jc w:val="both"/>
        <w:rPr>
          <w:rFonts w:asciiTheme="majorHAnsi" w:hAnsiTheme="majorHAnsi"/>
        </w:rPr>
      </w:pPr>
    </w:p>
    <w:p w:rsidR="00AC50AC" w:rsidRDefault="00AC50AC" w:rsidP="00AC50AC">
      <w:pPr>
        <w:spacing w:after="0" w:line="240" w:lineRule="auto"/>
        <w:jc w:val="both"/>
        <w:rPr>
          <w:rFonts w:asciiTheme="majorHAnsi" w:hAnsiTheme="majorHAnsi"/>
        </w:rPr>
      </w:pPr>
      <w:r w:rsidRPr="00AC50AC">
        <w:rPr>
          <w:rFonts w:asciiTheme="majorHAnsi" w:hAnsiTheme="majorHAnsi"/>
        </w:rPr>
        <w:t>Nikoliv, tento projekt slouží pouze pro urychlení procesu vydání zaměstnanecké karty v případě, že již zaměstnav</w:t>
      </w:r>
      <w:bookmarkStart w:id="0" w:name="_GoBack"/>
      <w:r w:rsidRPr="00AC50AC">
        <w:rPr>
          <w:rFonts w:asciiTheme="majorHAnsi" w:hAnsiTheme="majorHAnsi"/>
        </w:rPr>
        <w:t>a</w:t>
      </w:r>
      <w:bookmarkEnd w:id="0"/>
      <w:r w:rsidRPr="00AC50AC">
        <w:rPr>
          <w:rFonts w:asciiTheme="majorHAnsi" w:hAnsiTheme="majorHAnsi"/>
        </w:rPr>
        <w:t>tel má „své“ konkrétní uchazeče vybrané.</w:t>
      </w:r>
    </w:p>
    <w:p w:rsidR="00251CB2" w:rsidRPr="00AC50AC" w:rsidRDefault="00251CB2" w:rsidP="00AC50AC">
      <w:pPr>
        <w:spacing w:after="0" w:line="240" w:lineRule="auto"/>
        <w:jc w:val="both"/>
        <w:rPr>
          <w:rFonts w:asciiTheme="majorHAnsi" w:hAnsiTheme="majorHAnsi"/>
        </w:rPr>
      </w:pPr>
    </w:p>
    <w:p w:rsidR="0013374B" w:rsidRDefault="0013374B" w:rsidP="0013374B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:rsidR="00AC50AC" w:rsidRPr="00251CB2" w:rsidRDefault="00AC50AC" w:rsidP="00251CB2">
      <w:pPr>
        <w:jc w:val="both"/>
        <w:rPr>
          <w:rFonts w:asciiTheme="majorHAnsi" w:hAnsiTheme="majorHAnsi"/>
          <w:sz w:val="24"/>
          <w:szCs w:val="24"/>
        </w:rPr>
      </w:pPr>
      <w:r w:rsidRPr="00251CB2">
        <w:rPr>
          <w:rFonts w:asciiTheme="majorHAnsi" w:hAnsiTheme="majorHAnsi"/>
          <w:sz w:val="24"/>
          <w:szCs w:val="24"/>
        </w:rPr>
        <w:t xml:space="preserve">V případě jakýchkoliv dotazů ohledně </w:t>
      </w:r>
      <w:r w:rsidR="00251CB2" w:rsidRPr="00251CB2">
        <w:rPr>
          <w:rFonts w:asciiTheme="majorHAnsi" w:hAnsiTheme="majorHAnsi"/>
          <w:sz w:val="24"/>
          <w:szCs w:val="24"/>
        </w:rPr>
        <w:t>Režimu Ukrajina</w:t>
      </w:r>
      <w:r w:rsidRPr="00251CB2">
        <w:rPr>
          <w:rFonts w:asciiTheme="majorHAnsi" w:hAnsiTheme="majorHAnsi"/>
          <w:sz w:val="24"/>
          <w:szCs w:val="24"/>
        </w:rPr>
        <w:t xml:space="preserve"> kontaktuj</w:t>
      </w:r>
      <w:r w:rsidR="00251CB2" w:rsidRPr="00251CB2">
        <w:rPr>
          <w:rFonts w:asciiTheme="majorHAnsi" w:hAnsiTheme="majorHAnsi"/>
          <w:sz w:val="24"/>
          <w:szCs w:val="24"/>
        </w:rPr>
        <w:t>te Evu Dlaskovou (mobil: 776 771 735</w:t>
      </w:r>
      <w:r w:rsidRPr="00251CB2">
        <w:rPr>
          <w:rFonts w:asciiTheme="majorHAnsi" w:hAnsiTheme="majorHAnsi"/>
          <w:sz w:val="24"/>
          <w:szCs w:val="24"/>
        </w:rPr>
        <w:t>) z</w:t>
      </w:r>
      <w:r w:rsidR="00251CB2" w:rsidRPr="00251CB2">
        <w:rPr>
          <w:rFonts w:asciiTheme="majorHAnsi" w:hAnsiTheme="majorHAnsi"/>
          <w:sz w:val="24"/>
          <w:szCs w:val="24"/>
        </w:rPr>
        <w:t> Krajské hospodářské komory Ústeckého kraje na e-mailu</w:t>
      </w:r>
      <w:r w:rsidRPr="00251CB2">
        <w:rPr>
          <w:rFonts w:asciiTheme="majorHAnsi" w:hAnsiTheme="majorHAnsi"/>
          <w:sz w:val="24"/>
          <w:szCs w:val="24"/>
        </w:rPr>
        <w:t>:</w:t>
      </w:r>
    </w:p>
    <w:p w:rsidR="00AC50AC" w:rsidRPr="00251CB2" w:rsidRDefault="00251CB2" w:rsidP="00251CB2">
      <w:pPr>
        <w:rPr>
          <w:rFonts w:asciiTheme="majorHAnsi" w:hAnsiTheme="majorHAnsi"/>
          <w:b/>
          <w:sz w:val="24"/>
          <w:szCs w:val="24"/>
        </w:rPr>
      </w:pPr>
      <w:hyperlink r:id="rId6" w:history="1">
        <w:r w:rsidRPr="00251CB2">
          <w:rPr>
            <w:rStyle w:val="Hypertextovodkaz"/>
            <w:rFonts w:asciiTheme="majorHAnsi" w:hAnsiTheme="majorHAnsi"/>
            <w:b/>
            <w:sz w:val="24"/>
            <w:szCs w:val="24"/>
          </w:rPr>
          <w:t>rezimukrajina@khk-usti.cz</w:t>
        </w:r>
      </w:hyperlink>
      <w:r w:rsidR="00AC50AC" w:rsidRPr="00251CB2">
        <w:rPr>
          <w:rFonts w:asciiTheme="majorHAnsi" w:hAnsiTheme="majorHAnsi"/>
          <w:b/>
          <w:sz w:val="24"/>
          <w:szCs w:val="24"/>
        </w:rPr>
        <w:t xml:space="preserve"> </w:t>
      </w:r>
    </w:p>
    <w:p w:rsidR="004839D2" w:rsidRPr="002F3632" w:rsidRDefault="004839D2" w:rsidP="00AC50AC">
      <w:pPr>
        <w:rPr>
          <w:rFonts w:asciiTheme="majorHAnsi" w:hAnsiTheme="majorHAnsi"/>
          <w:color w:val="000000" w:themeColor="text1"/>
        </w:rPr>
      </w:pPr>
    </w:p>
    <w:sectPr w:rsidR="004839D2" w:rsidRPr="002F3632" w:rsidSect="0005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A2524"/>
    <w:multiLevelType w:val="hybridMultilevel"/>
    <w:tmpl w:val="F92EF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1662"/>
    <w:multiLevelType w:val="hybridMultilevel"/>
    <w:tmpl w:val="B6CAE4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96CDB"/>
    <w:multiLevelType w:val="hybridMultilevel"/>
    <w:tmpl w:val="CDD26604"/>
    <w:lvl w:ilvl="0" w:tplc="85765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9B6"/>
    <w:rsid w:val="0005082F"/>
    <w:rsid w:val="0013374B"/>
    <w:rsid w:val="00251CB2"/>
    <w:rsid w:val="0026153A"/>
    <w:rsid w:val="002F3632"/>
    <w:rsid w:val="0030071C"/>
    <w:rsid w:val="004839D2"/>
    <w:rsid w:val="00613516"/>
    <w:rsid w:val="00643453"/>
    <w:rsid w:val="00971EE5"/>
    <w:rsid w:val="00A75B67"/>
    <w:rsid w:val="00AC50AC"/>
    <w:rsid w:val="00B169B6"/>
    <w:rsid w:val="00B3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E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1EE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1EE5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3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imukrajina@khk-usti.cz" TargetMode="External"/><Relationship Id="rId5" Type="http://schemas.openxmlformats.org/officeDocument/2006/relationships/hyperlink" Target="http://www.mpsv.cz/ISPV.php?sfera=1&amp;sz=8&amp;txt=&amp;ok=Naj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KHK</dc:creator>
  <cp:lastModifiedBy>KHK</cp:lastModifiedBy>
  <cp:revision>4</cp:revision>
  <dcterms:created xsi:type="dcterms:W3CDTF">2017-04-19T09:51:00Z</dcterms:created>
  <dcterms:modified xsi:type="dcterms:W3CDTF">2017-04-20T09:16:00Z</dcterms:modified>
</cp:coreProperties>
</file>